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F7CC" w14:textId="77777777" w:rsidR="004244EE" w:rsidRPr="004244EE" w:rsidRDefault="004244EE" w:rsidP="004244EE">
      <w:pPr>
        <w:pStyle w:val="Naslov1"/>
        <w:spacing w:before="0" w:beforeAutospacing="0" w:after="0" w:afterAutospacing="0"/>
        <w:jc w:val="center"/>
        <w:rPr>
          <w:rFonts w:ascii="Cambria" w:hAnsi="Cambria" w:cs="Calibri"/>
        </w:rPr>
      </w:pPr>
      <w:r w:rsidRPr="0044326B">
        <w:rPr>
          <w:rFonts w:ascii="Cambria" w:hAnsi="Cambria"/>
          <w:color w:val="1F1F1F"/>
        </w:rPr>
        <w:t xml:space="preserve">Upisi 2026./2027. </w:t>
      </w:r>
    </w:p>
    <w:p w14:paraId="71BA0E9E" w14:textId="6AF13256" w:rsidR="00D92B8A" w:rsidRPr="004244EE" w:rsidRDefault="00D92B8A" w:rsidP="004244EE">
      <w:pPr>
        <w:pStyle w:val="Naslov1"/>
        <w:spacing w:before="0" w:beforeAutospacing="0" w:after="0" w:afterAutospacing="0"/>
        <w:jc w:val="center"/>
        <w:rPr>
          <w:rFonts w:ascii="Cambria" w:hAnsi="Cambria" w:cs="Calibri"/>
        </w:rPr>
      </w:pPr>
      <w:r w:rsidRPr="004244EE">
        <w:rPr>
          <w:rFonts w:ascii="Cambria" w:hAnsi="Cambria" w:cs="Calibri"/>
        </w:rPr>
        <w:t>Referent za poslovnu ekonomiju</w:t>
      </w:r>
    </w:p>
    <w:p w14:paraId="74EF73C0" w14:textId="77777777" w:rsidR="00D92B8A" w:rsidRPr="004244EE" w:rsidRDefault="00D92B8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</w:rPr>
      </w:pPr>
    </w:p>
    <w:p w14:paraId="09CFAC60" w14:textId="68508AF3" w:rsidR="00D92B8A" w:rsidRPr="004244EE" w:rsidRDefault="00D92B8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 xml:space="preserve">U školskoj godini </w:t>
      </w:r>
      <w:r w:rsidRPr="004244EE">
        <w:rPr>
          <w:rFonts w:ascii="Cambria" w:hAnsi="Cambria" w:cs="Calibri"/>
          <w:b/>
          <w:bCs/>
          <w:sz w:val="22"/>
          <w:szCs w:val="22"/>
        </w:rPr>
        <w:t>2026./2027.</w:t>
      </w:r>
      <w:r w:rsidRPr="004244EE">
        <w:rPr>
          <w:rFonts w:ascii="Cambria" w:hAnsi="Cambria" w:cs="Calibri"/>
          <w:sz w:val="22"/>
          <w:szCs w:val="22"/>
        </w:rPr>
        <w:t xml:space="preserve"> upisujemo </w:t>
      </w:r>
      <w:r w:rsidRPr="004244EE">
        <w:rPr>
          <w:rFonts w:ascii="Cambria" w:hAnsi="Cambria" w:cs="Calibri"/>
          <w:b/>
          <w:bCs/>
          <w:sz w:val="22"/>
          <w:szCs w:val="22"/>
        </w:rPr>
        <w:t>1 razredni odjel (20 učenika)</w:t>
      </w:r>
      <w:r w:rsidRPr="004244EE">
        <w:rPr>
          <w:rFonts w:ascii="Cambria" w:hAnsi="Cambria" w:cs="Calibri"/>
          <w:sz w:val="22"/>
          <w:szCs w:val="22"/>
        </w:rPr>
        <w:t xml:space="preserve"> za zanimanje Referent za poslovnu ekonomiju.</w:t>
      </w:r>
    </w:p>
    <w:p w14:paraId="10A12888" w14:textId="2E7E5A79" w:rsidR="00D92B8A" w:rsidRPr="004244EE" w:rsidRDefault="00D92B8A" w:rsidP="00F543DA">
      <w:pPr>
        <w:pStyle w:val="Naslov3"/>
        <w:spacing w:before="0"/>
        <w:jc w:val="both"/>
        <w:rPr>
          <w:rFonts w:ascii="Cambria" w:hAnsi="Cambria" w:cs="Calibri"/>
          <w:sz w:val="22"/>
          <w:szCs w:val="22"/>
        </w:rPr>
      </w:pPr>
    </w:p>
    <w:p w14:paraId="563009DA" w14:textId="7A7EC019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i/>
          <w:iCs/>
          <w:color w:val="1F1F1F"/>
          <w:sz w:val="22"/>
          <w:szCs w:val="22"/>
          <w:bdr w:val="none" w:sz="0" w:space="0" w:color="auto" w:frame="1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 xml:space="preserve">Strukovni kurikulum za stjecanje kvalifikacije </w:t>
      </w: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Referent za poslovnu ekonomiju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(unutar sektora </w:t>
      </w:r>
      <w:r w:rsidRPr="004244EE">
        <w:rPr>
          <w:rFonts w:ascii="Cambria" w:hAnsi="Cambria" w:cs="Calibri"/>
          <w:i/>
          <w:iCs/>
          <w:color w:val="1F1F1F"/>
          <w:sz w:val="22"/>
          <w:szCs w:val="22"/>
          <w:bdr w:val="none" w:sz="0" w:space="0" w:color="auto" w:frame="1"/>
        </w:rPr>
        <w:t>Ekonomij</w:t>
      </w:r>
      <w:r w:rsidR="002E342E" w:rsidRPr="004244EE">
        <w:rPr>
          <w:rFonts w:ascii="Cambria" w:hAnsi="Cambria" w:cs="Calibri"/>
          <w:i/>
          <w:iCs/>
          <w:color w:val="1F1F1F"/>
          <w:sz w:val="22"/>
          <w:szCs w:val="22"/>
          <w:bdr w:val="none" w:sz="0" w:space="0" w:color="auto" w:frame="1"/>
        </w:rPr>
        <w:t>e i</w:t>
      </w:r>
      <w:r w:rsidRPr="004244EE">
        <w:rPr>
          <w:rFonts w:ascii="Cambria" w:hAnsi="Cambria" w:cs="Calibri"/>
          <w:i/>
          <w:iCs/>
          <w:color w:val="1F1F1F"/>
          <w:sz w:val="22"/>
          <w:szCs w:val="22"/>
          <w:bdr w:val="none" w:sz="0" w:space="0" w:color="auto" w:frame="1"/>
        </w:rPr>
        <w:t xml:space="preserve"> trgovin</w:t>
      </w:r>
      <w:r w:rsidR="002E342E" w:rsidRPr="004244EE">
        <w:rPr>
          <w:rFonts w:ascii="Cambria" w:hAnsi="Cambria" w:cs="Calibri"/>
          <w:i/>
          <w:iCs/>
          <w:color w:val="1F1F1F"/>
          <w:sz w:val="22"/>
          <w:szCs w:val="22"/>
          <w:bdr w:val="none" w:sz="0" w:space="0" w:color="auto" w:frame="1"/>
        </w:rPr>
        <w:t>e</w:t>
      </w:r>
      <w:r w:rsidRPr="004244EE">
        <w:rPr>
          <w:rFonts w:ascii="Cambria" w:hAnsi="Cambria" w:cs="Calibri"/>
          <w:color w:val="1F1F1F"/>
          <w:sz w:val="22"/>
          <w:szCs w:val="22"/>
        </w:rPr>
        <w:t>) moderan je četverogodišnji program osmišljen kako bi učenike pripremio za dinamično okruženje suvremenog poslovanja, digitalne ekonomije i poduzetništva.</w:t>
      </w:r>
    </w:p>
    <w:p w14:paraId="0BF6C94A" w14:textId="77777777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 xml:space="preserve">Kao i ostali novi strukovni </w:t>
      </w:r>
      <w:proofErr w:type="spellStart"/>
      <w:r w:rsidRPr="004244EE">
        <w:rPr>
          <w:rFonts w:ascii="Cambria" w:hAnsi="Cambria" w:cs="Calibri"/>
          <w:color w:val="1F1F1F"/>
          <w:sz w:val="22"/>
          <w:szCs w:val="22"/>
        </w:rPr>
        <w:t>kurikulumi</w:t>
      </w:r>
      <w:proofErr w:type="spellEnd"/>
      <w:r w:rsidRPr="004244EE">
        <w:rPr>
          <w:rFonts w:ascii="Cambria" w:hAnsi="Cambria" w:cs="Calibri"/>
          <w:color w:val="1F1F1F"/>
          <w:sz w:val="22"/>
          <w:szCs w:val="22"/>
        </w:rPr>
        <w:t xml:space="preserve">, i ovaj se temelji na </w:t>
      </w: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modularnoj nastavi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(uvedenoj od školske godine </w:t>
      </w: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2025./2026.</w:t>
      </w:r>
      <w:r w:rsidRPr="004244EE">
        <w:rPr>
          <w:rFonts w:ascii="Cambria" w:hAnsi="Cambria" w:cs="Calibri"/>
          <w:color w:val="1F1F1F"/>
          <w:sz w:val="22"/>
          <w:szCs w:val="22"/>
        </w:rPr>
        <w:t>) te sustavu CSVET bodova. Naglasak je premješten s klasičnog "štrebanja" teorije na praktično rješavanje poslovnih problema kroz simulaciju stvarnih radnih procesa.</w:t>
      </w:r>
    </w:p>
    <w:p w14:paraId="4AD97AE2" w14:textId="731128D6" w:rsidR="00F543DA" w:rsidRPr="004244EE" w:rsidRDefault="00F543DA" w:rsidP="00F543DA">
      <w:pPr>
        <w:pStyle w:val="StandardWeb"/>
        <w:spacing w:before="0" w:beforeAutospacing="0" w:after="0" w:afterAutospacing="0"/>
        <w:rPr>
          <w:rFonts w:ascii="Cambria" w:hAnsi="Cambria" w:cs="Calibri"/>
          <w:color w:val="1F1F1F"/>
        </w:rPr>
      </w:pPr>
      <w:r w:rsidRPr="004244EE">
        <w:rPr>
          <w:rFonts w:ascii="Cambria" w:hAnsi="Cambria" w:cs="Calibri"/>
          <w:noProof/>
          <w:color w:val="1F1F1F"/>
        </w:rPr>
        <w:drawing>
          <wp:anchor distT="0" distB="0" distL="114300" distR="114300" simplePos="0" relativeHeight="251662336" behindDoc="0" locked="0" layoutInCell="1" allowOverlap="1" wp14:anchorId="745899CB" wp14:editId="300500FB">
            <wp:simplePos x="0" y="0"/>
            <wp:positionH relativeFrom="column">
              <wp:posOffset>-4445</wp:posOffset>
            </wp:positionH>
            <wp:positionV relativeFrom="paragraph">
              <wp:posOffset>188595</wp:posOffset>
            </wp:positionV>
            <wp:extent cx="5760720" cy="3840480"/>
            <wp:effectExtent l="0" t="0" r="0" b="7620"/>
            <wp:wrapThrough wrapText="bothSides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C4727" w14:textId="5973D468" w:rsidR="00F543DA" w:rsidRPr="004244EE" w:rsidRDefault="00F543DA" w:rsidP="00F543DA">
      <w:pPr>
        <w:pStyle w:val="StandardWeb"/>
        <w:spacing w:before="0" w:beforeAutospacing="0" w:after="0" w:afterAutospacing="0"/>
        <w:rPr>
          <w:rFonts w:ascii="Cambria" w:hAnsi="Cambria" w:cs="Calibri"/>
          <w:color w:val="1F1F1F"/>
        </w:rPr>
      </w:pPr>
    </w:p>
    <w:p w14:paraId="08B8B00A" w14:textId="77777777" w:rsidR="00F543DA" w:rsidRPr="004244EE" w:rsidRDefault="00F543DA" w:rsidP="004244EE">
      <w:pPr>
        <w:pStyle w:val="Naslov2"/>
        <w:rPr>
          <w:rFonts w:ascii="Cambria" w:hAnsi="Cambria"/>
        </w:rPr>
      </w:pPr>
      <w:r w:rsidRPr="004244EE">
        <w:rPr>
          <w:rFonts w:ascii="Cambria" w:hAnsi="Cambria"/>
        </w:rPr>
        <w:t>1. Osnovne informacije o kvalifikaciji</w:t>
      </w:r>
    </w:p>
    <w:p w14:paraId="304613C0" w14:textId="77777777" w:rsidR="00F543DA" w:rsidRPr="004244EE" w:rsidRDefault="00F543DA" w:rsidP="00F543DA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Trajanje obrazovanja: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4 godine</w:t>
      </w:r>
    </w:p>
    <w:p w14:paraId="0B70755C" w14:textId="77777777" w:rsidR="00F543DA" w:rsidRPr="004244EE" w:rsidRDefault="00F543DA" w:rsidP="00F543DA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Razina kvalifikacije (HKO):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4.2 (omogućuje izlazak na državnu maturu i nastavak školovanja na visokoškolskim ustanovama)</w:t>
      </w:r>
    </w:p>
    <w:p w14:paraId="7452FE45" w14:textId="77777777" w:rsidR="00F543DA" w:rsidRPr="004244EE" w:rsidRDefault="00F543DA" w:rsidP="00F543DA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Ključni koncept: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Spajanje ekonomske teorije s naprednim digitalnim vještinama, poslovnom administracijom i komunikacijom.</w:t>
      </w:r>
    </w:p>
    <w:p w14:paraId="7AD78E0E" w14:textId="77777777" w:rsidR="00F543DA" w:rsidRPr="004244EE" w:rsidRDefault="00F543DA" w:rsidP="00F543DA">
      <w:pPr>
        <w:pStyle w:val="Naslov2"/>
        <w:spacing w:before="0"/>
        <w:rPr>
          <w:rFonts w:ascii="Cambria" w:hAnsi="Cambria" w:cs="Calibri"/>
          <w:color w:val="1F1F1F"/>
          <w:sz w:val="22"/>
          <w:szCs w:val="22"/>
        </w:rPr>
      </w:pPr>
    </w:p>
    <w:p w14:paraId="2EF19195" w14:textId="13172AF4" w:rsidR="00F543DA" w:rsidRPr="004244EE" w:rsidRDefault="00F543DA" w:rsidP="004244EE">
      <w:pPr>
        <w:pStyle w:val="Naslov2"/>
        <w:rPr>
          <w:rFonts w:ascii="Cambria" w:hAnsi="Cambria"/>
        </w:rPr>
      </w:pPr>
      <w:r w:rsidRPr="004244EE">
        <w:rPr>
          <w:rFonts w:ascii="Cambria" w:hAnsi="Cambria"/>
        </w:rPr>
        <w:t>2. Ključne kompetencije i strukovna područja</w:t>
      </w:r>
    </w:p>
    <w:p w14:paraId="046AC5FE" w14:textId="77777777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Učenici kroz module razvijaju vještine potrebne za rad u svim segmentima poduzeća (od nabave i marketinga do računovodstva i ljudskih resursa):</w:t>
      </w:r>
    </w:p>
    <w:p w14:paraId="0F3A51FB" w14:textId="77777777" w:rsidR="00F543DA" w:rsidRPr="004244EE" w:rsidRDefault="00F543DA" w:rsidP="00F543DA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lastRenderedPageBreak/>
        <w:t>Poslovna administracija i uredsko poslovanje: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Upravljanje dokumentacijom, organizacija sastanaka, poslovno dopisivanje (na hrvatskom i stranim jezicima) te primjena suvremenih uredskih tehnologija.</w:t>
      </w:r>
    </w:p>
    <w:p w14:paraId="4B67C035" w14:textId="77777777" w:rsidR="00F543DA" w:rsidRPr="004244EE" w:rsidRDefault="00F543DA" w:rsidP="00F543DA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Financije i računovodstvo: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Vođenje poslovnih knjiga, priprema i obrada računa, obračun plaća, praćenje troškova te razumijevanje poreznog sustava.</w:t>
      </w:r>
    </w:p>
    <w:p w14:paraId="664589AB" w14:textId="77777777" w:rsidR="00F543DA" w:rsidRPr="004244EE" w:rsidRDefault="00F543DA" w:rsidP="00F543DA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Digitalno poslovanje i marketing: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Korištenje poslovnih softvera (ERP sustavi), osnove e-trgovine, digitalni marketing i istraživanje tržišta.</w:t>
      </w:r>
    </w:p>
    <w:p w14:paraId="14BF4BDA" w14:textId="77777777" w:rsidR="00F543DA" w:rsidRPr="004244EE" w:rsidRDefault="00F543DA" w:rsidP="00F543DA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Poduzetništvo i menadžment: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Razrada poslovnih ideja, izrada poslovnih planova, razumijevanje tržišnih zakonitosti i upravljanje malim poduzećima.</w:t>
      </w:r>
    </w:p>
    <w:p w14:paraId="09CD9ECC" w14:textId="77777777" w:rsidR="00F543DA" w:rsidRPr="004244EE" w:rsidRDefault="00F543DA" w:rsidP="00F543DA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Poslovna komunikacija:</w:t>
      </w:r>
      <w:r w:rsidRPr="004244EE">
        <w:rPr>
          <w:rFonts w:ascii="Cambria" w:hAnsi="Cambria" w:cs="Calibri"/>
          <w:color w:val="1F1F1F"/>
          <w:sz w:val="22"/>
          <w:szCs w:val="22"/>
        </w:rPr>
        <w:t xml:space="preserve"> Razvijanje pregovaračkih vještina, timski rad, profesionalna etika i komunikacija s klijentima i partnerima.</w:t>
      </w:r>
    </w:p>
    <w:p w14:paraId="02DCE6A3" w14:textId="77777777" w:rsidR="00F543DA" w:rsidRPr="004244EE" w:rsidRDefault="00F543DA" w:rsidP="00F543DA">
      <w:pPr>
        <w:pStyle w:val="Naslov2"/>
        <w:spacing w:before="0"/>
        <w:rPr>
          <w:rFonts w:ascii="Cambria" w:hAnsi="Cambria" w:cs="Calibri"/>
          <w:color w:val="1F1F1F"/>
        </w:rPr>
      </w:pPr>
    </w:p>
    <w:p w14:paraId="3051BF38" w14:textId="341E20CB" w:rsidR="00F543DA" w:rsidRPr="004244EE" w:rsidRDefault="00F543DA" w:rsidP="004244EE">
      <w:pPr>
        <w:pStyle w:val="Naslov2"/>
        <w:rPr>
          <w:rFonts w:ascii="Cambria" w:hAnsi="Cambria"/>
        </w:rPr>
      </w:pPr>
      <w:r w:rsidRPr="004244EE">
        <w:rPr>
          <w:rFonts w:ascii="Cambria" w:hAnsi="Cambria"/>
        </w:rPr>
        <w:t xml:space="preserve">3. Struktura </w:t>
      </w:r>
      <w:proofErr w:type="spellStart"/>
      <w:r w:rsidRPr="004244EE">
        <w:rPr>
          <w:rFonts w:ascii="Cambria" w:hAnsi="Cambria"/>
        </w:rPr>
        <w:t>kurikula</w:t>
      </w:r>
      <w:proofErr w:type="spellEnd"/>
      <w:r w:rsidRPr="004244EE">
        <w:rPr>
          <w:rFonts w:ascii="Cambria" w:hAnsi="Cambria"/>
        </w:rPr>
        <w:t xml:space="preserve"> i modularni pristup</w:t>
      </w:r>
    </w:p>
    <w:p w14:paraId="4B218948" w14:textId="37374BCF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Program je podijeljen na općeobrazovni dio (koji osigurava bazu za maturu) i strukovne module koji se provode kroz teoriju, vježbe i praktičnu nastavu.</w:t>
      </w:r>
    </w:p>
    <w:p w14:paraId="5F6427ED" w14:textId="77777777" w:rsidR="004244EE" w:rsidRPr="004244EE" w:rsidRDefault="004244EE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609C6300" w14:textId="77777777" w:rsidR="00F543DA" w:rsidRPr="004244EE" w:rsidRDefault="00F543DA" w:rsidP="00F543DA">
      <w:pPr>
        <w:pStyle w:val="Naslov3"/>
        <w:spacing w:before="0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A. Općeobrazovni dio</w:t>
      </w:r>
    </w:p>
    <w:tbl>
      <w:tblPr>
        <w:tblStyle w:val="TableGrid"/>
        <w:tblW w:w="10061" w:type="dxa"/>
        <w:tblInd w:w="-500" w:type="dxa"/>
        <w:tblCellMar>
          <w:left w:w="45" w:type="dxa"/>
          <w:right w:w="19" w:type="dxa"/>
        </w:tblCellMar>
        <w:tblLook w:val="04A0" w:firstRow="1" w:lastRow="0" w:firstColumn="1" w:lastColumn="0" w:noHBand="0" w:noVBand="1"/>
      </w:tblPr>
      <w:tblGrid>
        <w:gridCol w:w="1186"/>
        <w:gridCol w:w="668"/>
        <w:gridCol w:w="766"/>
        <w:gridCol w:w="607"/>
        <w:gridCol w:w="643"/>
        <w:gridCol w:w="766"/>
        <w:gridCol w:w="606"/>
        <w:gridCol w:w="643"/>
        <w:gridCol w:w="766"/>
        <w:gridCol w:w="606"/>
        <w:gridCol w:w="643"/>
        <w:gridCol w:w="766"/>
        <w:gridCol w:w="606"/>
        <w:gridCol w:w="789"/>
      </w:tblGrid>
      <w:tr w:rsidR="00F543DA" w:rsidRPr="004244EE" w14:paraId="4348894B" w14:textId="77777777" w:rsidTr="004244EE">
        <w:trPr>
          <w:trHeight w:val="105"/>
        </w:trPr>
        <w:tc>
          <w:tcPr>
            <w:tcW w:w="1186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30545F8F" w14:textId="77777777" w:rsidR="00F543DA" w:rsidRPr="004244EE" w:rsidRDefault="00F543DA" w:rsidP="004B5779">
            <w:pPr>
              <w:spacing w:line="259" w:lineRule="auto"/>
              <w:ind w:left="70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Naziv nastavnoga</w:t>
            </w:r>
          </w:p>
          <w:p w14:paraId="2FE2B4FC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predmeta</w:t>
            </w:r>
          </w:p>
        </w:tc>
        <w:tc>
          <w:tcPr>
            <w:tcW w:w="8875" w:type="dxa"/>
            <w:gridSpan w:val="1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2745FEB1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Razred, sati, bodovi</w:t>
            </w:r>
          </w:p>
        </w:tc>
      </w:tr>
      <w:tr w:rsidR="00F543DA" w:rsidRPr="004244EE" w14:paraId="3D97DAF7" w14:textId="77777777" w:rsidTr="004244EE">
        <w:trPr>
          <w:trHeight w:val="84"/>
        </w:trPr>
        <w:tc>
          <w:tcPr>
            <w:tcW w:w="0" w:type="auto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FCC8FC"/>
            <w:vAlign w:val="center"/>
          </w:tcPr>
          <w:p w14:paraId="50C7D68A" w14:textId="77777777" w:rsidR="00F543DA" w:rsidRPr="004244EE" w:rsidRDefault="00F543DA" w:rsidP="004B5779">
            <w:pPr>
              <w:spacing w:after="160" w:line="259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2041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CCFF"/>
            <w:vAlign w:val="center"/>
          </w:tcPr>
          <w:p w14:paraId="1D7E533D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1. razred</w:t>
            </w:r>
          </w:p>
        </w:tc>
        <w:tc>
          <w:tcPr>
            <w:tcW w:w="2015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CCFF"/>
            <w:vAlign w:val="center"/>
          </w:tcPr>
          <w:p w14:paraId="124BFC3E" w14:textId="77777777" w:rsidR="00F543DA" w:rsidRPr="004244EE" w:rsidRDefault="00F543DA" w:rsidP="004B5779">
            <w:pPr>
              <w:spacing w:line="259" w:lineRule="auto"/>
              <w:ind w:left="3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2. razred</w:t>
            </w:r>
          </w:p>
        </w:tc>
        <w:tc>
          <w:tcPr>
            <w:tcW w:w="2015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CCFF"/>
            <w:vAlign w:val="center"/>
          </w:tcPr>
          <w:p w14:paraId="08188907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3. razred</w:t>
            </w:r>
          </w:p>
        </w:tc>
        <w:tc>
          <w:tcPr>
            <w:tcW w:w="2015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CCFF"/>
            <w:vAlign w:val="center"/>
          </w:tcPr>
          <w:p w14:paraId="304D955B" w14:textId="77777777" w:rsidR="00F543DA" w:rsidRPr="004244EE" w:rsidRDefault="00F543DA" w:rsidP="004B5779">
            <w:pPr>
              <w:spacing w:line="259" w:lineRule="auto"/>
              <w:ind w:left="3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4. razred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FFCCFF"/>
            <w:vAlign w:val="center"/>
          </w:tcPr>
          <w:p w14:paraId="2B67864C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</w:p>
        </w:tc>
      </w:tr>
      <w:tr w:rsidR="00F543DA" w:rsidRPr="004244EE" w14:paraId="704A2828" w14:textId="77777777" w:rsidTr="004244E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05B808E8" w14:textId="77777777" w:rsidR="00F543DA" w:rsidRPr="004244EE" w:rsidRDefault="00F543DA" w:rsidP="004B5779">
            <w:pPr>
              <w:spacing w:after="160" w:line="259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003A513A" w14:textId="77777777" w:rsidR="00F543DA" w:rsidRPr="004244EE" w:rsidRDefault="00F543DA" w:rsidP="004B5779">
            <w:pPr>
              <w:spacing w:line="259" w:lineRule="auto"/>
              <w:ind w:left="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</w:t>
            </w:r>
          </w:p>
          <w:p w14:paraId="584AC03D" w14:textId="77777777" w:rsidR="00F543DA" w:rsidRPr="004244EE" w:rsidRDefault="00F543DA" w:rsidP="004B5779">
            <w:pPr>
              <w:spacing w:line="259" w:lineRule="auto"/>
              <w:ind w:left="69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tjedno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46BDB768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 godišnje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7731F170" w14:textId="77777777" w:rsidR="00F543DA" w:rsidRPr="004244EE" w:rsidRDefault="00F543DA" w:rsidP="004B5779">
            <w:pPr>
              <w:spacing w:line="259" w:lineRule="auto"/>
              <w:ind w:left="14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CSVET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52083BAA" w14:textId="77777777" w:rsidR="00F543DA" w:rsidRPr="004244EE" w:rsidRDefault="00F543DA" w:rsidP="004B5779">
            <w:pPr>
              <w:spacing w:line="219" w:lineRule="auto"/>
              <w:ind w:left="5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</w:t>
            </w:r>
          </w:p>
          <w:p w14:paraId="20E5CAD7" w14:textId="77777777" w:rsidR="00F543DA" w:rsidRPr="004244EE" w:rsidRDefault="00F543DA" w:rsidP="004B5779">
            <w:pPr>
              <w:spacing w:line="259" w:lineRule="auto"/>
              <w:ind w:left="44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tjedno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2AA36B08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 godišnje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5A4DCBF9" w14:textId="77777777" w:rsidR="00F543DA" w:rsidRPr="004244EE" w:rsidRDefault="00F543DA" w:rsidP="004B5779">
            <w:pPr>
              <w:spacing w:line="259" w:lineRule="auto"/>
              <w:ind w:left="13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CSVET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759706E4" w14:textId="77777777" w:rsidR="00F543DA" w:rsidRPr="004244EE" w:rsidRDefault="00F543DA" w:rsidP="004B5779">
            <w:pPr>
              <w:spacing w:line="219" w:lineRule="auto"/>
              <w:ind w:left="5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</w:t>
            </w:r>
          </w:p>
          <w:p w14:paraId="3DF04733" w14:textId="77777777" w:rsidR="00F543DA" w:rsidRPr="004244EE" w:rsidRDefault="00F543DA" w:rsidP="004B5779">
            <w:pPr>
              <w:spacing w:line="259" w:lineRule="auto"/>
              <w:ind w:left="44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tjedno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45E8386F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 godišnje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78C9CA0B" w14:textId="77777777" w:rsidR="00F543DA" w:rsidRPr="004244EE" w:rsidRDefault="00F543DA" w:rsidP="004B5779">
            <w:pPr>
              <w:spacing w:line="259" w:lineRule="auto"/>
              <w:ind w:left="13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CSVET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70591263" w14:textId="77777777" w:rsidR="00F543DA" w:rsidRPr="004244EE" w:rsidRDefault="00F543DA" w:rsidP="004B5779">
            <w:pPr>
              <w:spacing w:line="219" w:lineRule="auto"/>
              <w:ind w:left="5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</w:t>
            </w:r>
          </w:p>
          <w:p w14:paraId="24234CB0" w14:textId="77777777" w:rsidR="00F543DA" w:rsidRPr="004244EE" w:rsidRDefault="00F543DA" w:rsidP="004B5779">
            <w:pPr>
              <w:spacing w:line="259" w:lineRule="auto"/>
              <w:ind w:left="44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tjedno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7941C4FD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broj sati godišnje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6B2F21EE" w14:textId="77777777" w:rsidR="00F543DA" w:rsidRPr="004244EE" w:rsidRDefault="00F543DA" w:rsidP="004B5779">
            <w:pPr>
              <w:spacing w:line="259" w:lineRule="auto"/>
              <w:ind w:left="13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CSVET</w:t>
            </w:r>
          </w:p>
        </w:tc>
        <w:tc>
          <w:tcPr>
            <w:tcW w:w="789" w:type="dxa"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FE7FF"/>
            <w:vAlign w:val="center"/>
          </w:tcPr>
          <w:p w14:paraId="0A35A9C4" w14:textId="77777777" w:rsidR="00F543DA" w:rsidRPr="004244EE" w:rsidRDefault="00F543DA" w:rsidP="004B5779">
            <w:pPr>
              <w:spacing w:line="21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UKUPNO CSVET</w:t>
            </w:r>
          </w:p>
          <w:p w14:paraId="47BE72E2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bodova</w:t>
            </w:r>
          </w:p>
        </w:tc>
      </w:tr>
      <w:tr w:rsidR="00F543DA" w:rsidRPr="004244EE" w14:paraId="74F50418" w14:textId="77777777" w:rsidTr="004244EE">
        <w:trPr>
          <w:trHeight w:val="75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67F3817D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Hrvatski jezik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3BB751A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9880E02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140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38E38F9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22C5E8F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B344CF7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140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079A8B4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649CD71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85B4FE8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140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2152178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FB1B62F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FA70EC1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128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6EDC853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8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B2AD332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32</w:t>
            </w:r>
          </w:p>
        </w:tc>
      </w:tr>
      <w:tr w:rsidR="00F543DA" w:rsidRPr="004244EE" w14:paraId="59152CA5" w14:textId="77777777" w:rsidTr="004244EE">
        <w:trPr>
          <w:trHeight w:val="75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76AB123D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Strani jezik I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BE7A260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04D0C3A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6DACE42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32794DD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086C8CA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DD1B371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0DDC986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788DA7E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832F22E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581C9D2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F284179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64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664A40A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DF5C861" w14:textId="77777777" w:rsidR="00F543DA" w:rsidRPr="004244EE" w:rsidRDefault="00F543DA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16</w:t>
            </w:r>
          </w:p>
        </w:tc>
      </w:tr>
      <w:tr w:rsidR="00F543DA" w:rsidRPr="004244EE" w14:paraId="5B56DB2F" w14:textId="77777777" w:rsidTr="004244EE">
        <w:trPr>
          <w:trHeight w:val="75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1C5E9614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Matematika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3B03276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98CD7B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140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B3C9B9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F2AB3D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4424F31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140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EE4EFF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FD645B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A3D9B2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105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875216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6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08FFD4F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EF587D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96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C69B353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6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E115E2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28</w:t>
            </w:r>
          </w:p>
        </w:tc>
      </w:tr>
      <w:tr w:rsidR="00F543DA" w:rsidRPr="004244EE" w14:paraId="7FA38B4D" w14:textId="77777777" w:rsidTr="004244EE">
        <w:trPr>
          <w:trHeight w:val="181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2E237710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Povijest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19B6440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161B10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35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BD077AF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78C6C3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12116C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35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D73E07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176AE43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1081E4E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35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F7F414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FF7D0F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118F52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581B1B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B8C479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6</w:t>
            </w:r>
          </w:p>
        </w:tc>
      </w:tr>
      <w:tr w:rsidR="00F543DA" w:rsidRPr="004244EE" w14:paraId="2A461428" w14:textId="77777777" w:rsidTr="004244EE">
        <w:trPr>
          <w:trHeight w:val="100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4023F731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Geografija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ECEF42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478945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0DECAB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E134F1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5CD9D7E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C1F9B7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39C73B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40FBF2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B25BB5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191204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790CAB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64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8BDB6C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119EA81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3</w:t>
            </w:r>
          </w:p>
        </w:tc>
      </w:tr>
      <w:tr w:rsidR="00F543DA" w:rsidRPr="004244EE" w14:paraId="1B023863" w14:textId="77777777" w:rsidTr="004244EE">
        <w:trPr>
          <w:trHeight w:val="403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5D800C56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Politika i gospodarstvo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46615D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B6171D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459F610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A41A84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3E20EF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2655C77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59944A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3EBAB96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322691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A25874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CC33096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32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72BF87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CE8689E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</w:t>
            </w:r>
          </w:p>
        </w:tc>
      </w:tr>
      <w:tr w:rsidR="00F543DA" w:rsidRPr="004244EE" w14:paraId="523AB191" w14:textId="77777777" w:rsidTr="004244EE">
        <w:trPr>
          <w:trHeight w:val="403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3F39F047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Tjelesna i zdravstvena kultura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CC3A41E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87BE1F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397F2F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750660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266662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D6A5ABC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427B357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217F0A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B787E5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8941F61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584C086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64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0DAD14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59BB9F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8</w:t>
            </w:r>
          </w:p>
        </w:tc>
      </w:tr>
      <w:tr w:rsidR="00F543DA" w:rsidRPr="004244EE" w14:paraId="510426A3" w14:textId="77777777" w:rsidTr="004244EE">
        <w:trPr>
          <w:trHeight w:val="403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30BAEA48" w14:textId="77777777" w:rsidR="00F543DA" w:rsidRPr="004244EE" w:rsidRDefault="00F543DA" w:rsidP="004B5779">
            <w:pPr>
              <w:spacing w:line="259" w:lineRule="auto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Vjeronauk/</w:t>
            </w:r>
          </w:p>
          <w:p w14:paraId="0DBAA77F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Etika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CB876B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BAF6AE7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35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3A4F5A2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A70404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F5E2048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35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909511C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57968A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DB195F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35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0D29B10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A93A47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D18E8D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32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FA9F6EB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1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6727BCC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4</w:t>
            </w:r>
          </w:p>
        </w:tc>
      </w:tr>
      <w:tr w:rsidR="00F543DA" w:rsidRPr="004244EE" w14:paraId="25B18480" w14:textId="77777777" w:rsidTr="004244EE">
        <w:trPr>
          <w:trHeight w:val="403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274B19C7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Talijanski jezik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728A39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D1979F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56951A7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46E2161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0033213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5A4C057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C73C7B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0C15F7F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5793E9E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763DEB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D63AAA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sz w:val="18"/>
              </w:rPr>
              <w:t>70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39658D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9DB8606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</w:p>
        </w:tc>
      </w:tr>
      <w:tr w:rsidR="00F543DA" w:rsidRPr="004244EE" w14:paraId="0BDDC7D9" w14:textId="77777777" w:rsidTr="004244EE">
        <w:trPr>
          <w:trHeight w:val="403"/>
        </w:trPr>
        <w:tc>
          <w:tcPr>
            <w:tcW w:w="11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2634E0B1" w14:textId="77777777" w:rsidR="00F543DA" w:rsidRPr="004244EE" w:rsidRDefault="00F543DA" w:rsidP="004B5779">
            <w:pPr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UKUPNO</w:t>
            </w:r>
          </w:p>
        </w:tc>
        <w:tc>
          <w:tcPr>
            <w:tcW w:w="6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559CB6FF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14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78254686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490</w:t>
            </w:r>
          </w:p>
        </w:tc>
        <w:tc>
          <w:tcPr>
            <w:tcW w:w="60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490F867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25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73A6E3A3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14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6477E4F1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490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6696CDC9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25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426188DD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13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32CC4EE4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455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62FB5B0A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23</w:t>
            </w:r>
          </w:p>
        </w:tc>
        <w:tc>
          <w:tcPr>
            <w:tcW w:w="64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5FE0832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15</w:t>
            </w:r>
          </w:p>
        </w:tc>
        <w:tc>
          <w:tcPr>
            <w:tcW w:w="76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43140D97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480</w:t>
            </w:r>
          </w:p>
        </w:tc>
        <w:tc>
          <w:tcPr>
            <w:tcW w:w="6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735A29F3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26</w:t>
            </w:r>
          </w:p>
        </w:tc>
        <w:tc>
          <w:tcPr>
            <w:tcW w:w="78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CC8FC"/>
            <w:vAlign w:val="center"/>
          </w:tcPr>
          <w:p w14:paraId="65085625" w14:textId="77777777" w:rsidR="00F543DA" w:rsidRPr="004244EE" w:rsidRDefault="00F543DA" w:rsidP="004B5779">
            <w:pPr>
              <w:ind w:right="27"/>
              <w:jc w:val="center"/>
              <w:rPr>
                <w:rFonts w:ascii="Cambria" w:hAnsi="Cambria" w:cs="Calibri"/>
                <w:b/>
                <w:sz w:val="18"/>
              </w:rPr>
            </w:pPr>
            <w:r w:rsidRPr="004244EE">
              <w:rPr>
                <w:rFonts w:ascii="Cambria" w:hAnsi="Cambria" w:cs="Calibri"/>
                <w:b/>
                <w:sz w:val="18"/>
              </w:rPr>
              <w:t>99</w:t>
            </w:r>
          </w:p>
        </w:tc>
      </w:tr>
    </w:tbl>
    <w:p w14:paraId="4AC98732" w14:textId="77777777" w:rsidR="00F543DA" w:rsidRPr="004244EE" w:rsidRDefault="00F543DA" w:rsidP="00F543DA">
      <w:pPr>
        <w:pStyle w:val="Naslov3"/>
        <w:spacing w:before="0"/>
        <w:rPr>
          <w:rFonts w:ascii="Cambria" w:hAnsi="Cambria" w:cs="Calibri"/>
          <w:color w:val="1F1F1F"/>
        </w:rPr>
      </w:pPr>
    </w:p>
    <w:p w14:paraId="4264FC7E" w14:textId="77777777" w:rsidR="004244EE" w:rsidRPr="004244EE" w:rsidRDefault="004244EE">
      <w:pPr>
        <w:rPr>
          <w:rFonts w:ascii="Cambria" w:eastAsiaTheme="majorEastAsia" w:hAnsi="Cambria" w:cs="Calibri"/>
          <w:color w:val="1F1F1F"/>
        </w:rPr>
      </w:pPr>
      <w:r w:rsidRPr="004244EE">
        <w:rPr>
          <w:rFonts w:ascii="Cambria" w:hAnsi="Cambria" w:cs="Calibri"/>
          <w:color w:val="1F1F1F"/>
        </w:rPr>
        <w:br w:type="page"/>
      </w:r>
    </w:p>
    <w:p w14:paraId="27A18491" w14:textId="01129EDC" w:rsidR="00F543DA" w:rsidRPr="004244EE" w:rsidRDefault="00F543DA" w:rsidP="00F543DA">
      <w:pPr>
        <w:pStyle w:val="Naslov3"/>
        <w:spacing w:before="0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lastRenderedPageBreak/>
        <w:t xml:space="preserve">B. Strukovni moduli </w:t>
      </w:r>
    </w:p>
    <w:p w14:paraId="7A676CCA" w14:textId="33E56208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 xml:space="preserve">Nastava se u velikoj mjeri odvija u specijaliziranim kabinetima. Središnji dio praktične obuke često obuhvaća rad u </w:t>
      </w:r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 xml:space="preserve">vježbeničkoj </w:t>
      </w:r>
      <w:proofErr w:type="spellStart"/>
      <w:r w:rsidRPr="004244EE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tvrtci</w:t>
      </w:r>
      <w:proofErr w:type="spellEnd"/>
      <w:r w:rsidRPr="004244EE">
        <w:rPr>
          <w:rFonts w:ascii="Cambria" w:hAnsi="Cambria" w:cs="Calibri"/>
          <w:color w:val="1F1F1F"/>
          <w:sz w:val="22"/>
          <w:szCs w:val="22"/>
        </w:rPr>
        <w:t>, gdje učenici simuliraju stvarne poslovne procese (osnivanje tvrtke, nabava, prodaja, marketing, knjigovodstvo) i surađuju s vježbeničkim tvrtkama iz drugih škola u Hrvatskoj.</w:t>
      </w:r>
    </w:p>
    <w:p w14:paraId="01EE9657" w14:textId="390A3B62" w:rsidR="004244EE" w:rsidRPr="004244EE" w:rsidRDefault="004244EE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1120"/>
        <w:gridCol w:w="1107"/>
        <w:gridCol w:w="1043"/>
        <w:gridCol w:w="1056"/>
      </w:tblGrid>
      <w:tr w:rsidR="004244EE" w:rsidRPr="004244EE" w14:paraId="34717547" w14:textId="77777777" w:rsidTr="004244EE">
        <w:trPr>
          <w:trHeight w:val="197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D706E8B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 xml:space="preserve">Obavezni strukovni moduli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D4DCED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1.razred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D041FB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2.razred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2425A2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3.razred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689182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4.razred</w:t>
            </w:r>
          </w:p>
        </w:tc>
      </w:tr>
      <w:tr w:rsidR="004244EE" w:rsidRPr="004244EE" w14:paraId="421A6977" w14:textId="77777777" w:rsidTr="004244EE">
        <w:trPr>
          <w:trHeight w:val="235"/>
        </w:trPr>
        <w:tc>
          <w:tcPr>
            <w:tcW w:w="51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FACF317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Uvod u poduzetništvo</w:t>
            </w:r>
          </w:p>
        </w:tc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8F6B27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B2860E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71A858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F81D02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0E6DC10" w14:textId="77777777" w:rsidTr="004244EE">
        <w:trPr>
          <w:trHeight w:val="256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A4CCE27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Informacijsko – komunikacijske tehnologije u uredskom poslovanju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F8D726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105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06BABA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DA4AFE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1FE393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5B35D809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39511CE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Osnove računovodstva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8D8C3F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EE269B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EFE77E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34AE4B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173BC157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BADC602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Uvod u osobne financije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492146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326109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657EBF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6034A0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04C4AB4D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A74F56E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Uvod u poslovne komunikacije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3F85A1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9A5427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3F3400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5EBDE8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296EC831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7EC5CAD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Daktilografija u uredskom poslovanju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1AC191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140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24A47D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6B2D27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54093B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76D510B4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A02BFF1" w14:textId="77777777" w:rsidR="004244EE" w:rsidRPr="004244EE" w:rsidRDefault="004244EE" w:rsidP="004244EE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Strani jezik struke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CE6F2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68A469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105</w:t>
            </w: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1C3A22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930266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73E29C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16E21F9C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6EEB4B0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Planiranje poduzetničke aktivnosti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E96A1F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3D0A5B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672832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21E139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66977A99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BE36D66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Proračunske tablice u poslovanju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EE8D81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5B5E15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D918B6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39F053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2EB1418C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C473033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Računovodstvo imovine i obveza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210EE9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E9DFD6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105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E10585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41A440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9C81669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12C72E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Ponašanje potrošača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140AFA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99E97A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42D4F5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949A83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DFC0DB6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C10835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Mikroekonomija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08BD8E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00DF60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2A3728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36CBF8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75768230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9A6C20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Pisane poslovne komunikacije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D6E683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FA233B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105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CA6025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7B492F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6D658BE4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E6D6CB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Novčano poslovanje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6EF828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7E4BD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D6ECEF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F07428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49042F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5C33E9B4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BB49054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Poduzetnički pothvat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911D2F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BD614B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EE6381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102318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D6A010D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E99856B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Baze podataka i poslovni informacijski sustavi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2A02A5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5854EF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632D08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67624A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3C8B284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6B72165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Računovodstvo proizvodnje i trgovine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A88F91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3C868D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A6B655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105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51A7A0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55C6795C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5754679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Upravljanje elementima marketinškog spleta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F1D659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5CF900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6D5105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6DFE0F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1DBEA6C3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A2AB482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Osnove ekonomije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35BC34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25E814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E91A95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51ABC8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02B2E18E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6105118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Pokretanje vježbeničke tvrtke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B03DFC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EACE23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96FE4D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4AA420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0E74F2C3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383B91D" w14:textId="77777777" w:rsidR="004244EE" w:rsidRPr="004244EE" w:rsidRDefault="004244EE" w:rsidP="004244EE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Radni procesi u organizaciji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F614DA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2EDC2E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65B2F0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35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328C75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1C80C60F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791CA4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Poduzetničko računovodstvo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F08E7E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3B6071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393A428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B176B6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96</w:t>
            </w:r>
          </w:p>
        </w:tc>
      </w:tr>
      <w:tr w:rsidR="004244EE" w:rsidRPr="004244EE" w14:paraId="200E3BDA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33AED4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Makroekonomija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6AE006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C535FE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59379A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5B01B2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64</w:t>
            </w:r>
          </w:p>
        </w:tc>
      </w:tr>
      <w:tr w:rsidR="004244EE" w:rsidRPr="004244EE" w14:paraId="704872E0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D1AD2C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Statistika u poslovanju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914885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3C0257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D6AEDC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A2FA13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96</w:t>
            </w:r>
          </w:p>
        </w:tc>
      </w:tr>
      <w:tr w:rsidR="004244EE" w:rsidRPr="004244EE" w14:paraId="7FD70226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66BE88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Poslovanje vježbeničke tvrtke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4C50F5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6EB27B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65F9BE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CEBDF0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64</w:t>
            </w:r>
          </w:p>
        </w:tc>
      </w:tr>
      <w:tr w:rsidR="004244EE" w:rsidRPr="004244EE" w14:paraId="0BA180B8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67A757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Poslovi i prakse kroz učenje temeljeno na radu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2F88A2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3D9D29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671AAF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1B804E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32</w:t>
            </w:r>
          </w:p>
        </w:tc>
      </w:tr>
      <w:tr w:rsidR="004244EE" w:rsidRPr="004244EE" w14:paraId="0FD76E8A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DD3C20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Održivo poslovanje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FC847D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17855C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07F6AE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3347E2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64</w:t>
            </w:r>
          </w:p>
        </w:tc>
      </w:tr>
      <w:tr w:rsidR="004244EE" w:rsidRPr="004244EE" w14:paraId="1135437C" w14:textId="77777777" w:rsidTr="004244EE">
        <w:trPr>
          <w:trHeight w:val="23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6B8609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Pravno okruženje poslovanja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A5ED4D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3179D8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C03666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97CBB9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64</w:t>
            </w:r>
          </w:p>
        </w:tc>
      </w:tr>
    </w:tbl>
    <w:p w14:paraId="5894E5C9" w14:textId="63402FED" w:rsidR="004244EE" w:rsidRPr="004244EE" w:rsidRDefault="004244EE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1D621E4C" w14:textId="77777777" w:rsidR="004244EE" w:rsidRPr="004244EE" w:rsidRDefault="004244EE" w:rsidP="004244EE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C. Izborni moduli</w:t>
      </w:r>
    </w:p>
    <w:tbl>
      <w:tblPr>
        <w:tblW w:w="1047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5244"/>
        <w:gridCol w:w="982"/>
        <w:gridCol w:w="982"/>
        <w:gridCol w:w="1087"/>
      </w:tblGrid>
      <w:tr w:rsidR="004244EE" w:rsidRPr="004244EE" w14:paraId="58B7D21C" w14:textId="77777777" w:rsidTr="004244EE">
        <w:trPr>
          <w:trHeight w:val="151"/>
        </w:trPr>
        <w:tc>
          <w:tcPr>
            <w:tcW w:w="742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947E6A7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 xml:space="preserve">Izborni strukovni moduli 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6686DC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2.razred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F47843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3.razred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5A7280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4.razred</w:t>
            </w:r>
          </w:p>
        </w:tc>
      </w:tr>
      <w:tr w:rsidR="004244EE" w:rsidRPr="004244EE" w14:paraId="3D397D79" w14:textId="77777777" w:rsidTr="004244EE">
        <w:trPr>
          <w:trHeight w:val="151"/>
        </w:trPr>
        <w:tc>
          <w:tcPr>
            <w:tcW w:w="2178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F046B25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Poslovna ekonomija</w:t>
            </w:r>
          </w:p>
        </w:tc>
        <w:tc>
          <w:tcPr>
            <w:tcW w:w="52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78F1E4C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Poslovno pregovaranje</w:t>
            </w:r>
          </w:p>
        </w:tc>
        <w:tc>
          <w:tcPr>
            <w:tcW w:w="9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89F16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9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EFE9AD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886FA3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4F5A1E68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18F69F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5E10EDB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Međunarodna ekonomija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603D78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C6F319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0CDB9B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2CF2F3E1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F4D6AD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80801D5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Osnove digitalnog marketinga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3B38C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8FDC91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B1843E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629C85A1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F82C03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6154178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Javna nabava u poslovanju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87D6EB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F0C247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FDFAA7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43682D1B" w14:textId="77777777" w:rsidTr="004244EE">
        <w:trPr>
          <w:trHeight w:val="151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9BF53DF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Financije institucije i tržišta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C015872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Poslovi u osiguranju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AAADD5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 xml:space="preserve">X 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7FB0B5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4EF825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791568A8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E97350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9DB4887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Bankarski poslovi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C7A593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BD0AE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B578EF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2C59E1F9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55CF2B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9D714F2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Tržište kapitala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B4B349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F2CA8C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F535E6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139E1C0F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F3EE2A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89E84C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Krediti i linearni modeli proizvodnje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7A19E5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43B39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64D6EB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6E3A1C5E" w14:textId="77777777" w:rsidTr="004244EE">
        <w:trPr>
          <w:trHeight w:val="151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3A7255F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Marketing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5170A6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Medijska kultura u poslovanju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55B608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D93EFA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F5E42E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13D8BB43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65F2AA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BF4F14F" w14:textId="77777777" w:rsidR="004244EE" w:rsidRPr="004244EE" w:rsidRDefault="004244EE" w:rsidP="004244EE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Digitalni marketing u poslovanju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EDA41F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621412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4CE27C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EE12B34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C94B52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FF5B13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Odnosi s javnošću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F9D73E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748A2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FE4280D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2E9DD4EB" w14:textId="77777777" w:rsidTr="004244EE">
        <w:trPr>
          <w:trHeight w:val="178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5F43315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FC9EE4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Planiranje digitalne marketinške kampanje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0C7727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7FE49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B70BA0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2A6D8EDE" w14:textId="77777777" w:rsidTr="004244EE">
        <w:trPr>
          <w:trHeight w:val="151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7FE19B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lastRenderedPageBreak/>
              <w:t>Računovodstvo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A2D028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Računovodstvo fizičkih osoba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BC6E3D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820618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D4BA7B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7846C23A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80E926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2130BE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Analitičke evidencije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BD57C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DDCDDE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D3AEA9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08FA13B5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D96125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149B95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Računovodstvo vanjske trgovine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45736FC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0E5443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677476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78D9E208" w14:textId="77777777" w:rsidTr="004244EE">
        <w:trPr>
          <w:trHeight w:val="303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CD2B47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A61E51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Godišnji financijski izvještaju mikro i malih poduzetnika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89D7AB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C78B70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11B85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3CFC5D71" w14:textId="77777777" w:rsidTr="004244EE">
        <w:trPr>
          <w:trHeight w:val="151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9C1337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Upravljanje ljudskim potencijalima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3E0E92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Ponašanje u poslovnom okružju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65D2D1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F98E1B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7171E9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0F29E315" w14:textId="77777777" w:rsidTr="004244EE">
        <w:trPr>
          <w:trHeight w:val="189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8999DC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847B4E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Osnove upravljanja ljudskim potencijalima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1F5318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679054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BCCE99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29DDED91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54F949F6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973815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Upravljanje ljudskim potencijalima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4F760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170339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877755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46BC0EB8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1EF99E2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FEF548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Radno pravo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B89DE2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31CAA0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DB4A8C9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092CBA62" w14:textId="77777777" w:rsidTr="004244EE">
        <w:trPr>
          <w:trHeight w:val="151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78D91AB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Projektno upravljanje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D1A2B6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Osnove projektnog upravljanja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FFF1568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7E5299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D78AA5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4F55EB32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F6FA1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4E5694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Priprema, vođenje i evaluacija projekata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0047440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5ECA29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225CDD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4244EE" w:rsidRPr="004244EE" w14:paraId="3B14F094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E2CCB4F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7806FFE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 xml:space="preserve">Projektno </w:t>
            </w:r>
            <w:proofErr w:type="spellStart"/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upravljanjke</w:t>
            </w:r>
            <w:proofErr w:type="spellEnd"/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 xml:space="preserve"> – EU fondovi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555120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BA17D9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D5B1A83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X</w:t>
            </w:r>
          </w:p>
        </w:tc>
      </w:tr>
      <w:tr w:rsidR="004244EE" w:rsidRPr="004244EE" w14:paraId="25551E7A" w14:textId="77777777" w:rsidTr="004244EE">
        <w:trPr>
          <w:trHeight w:val="151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D5E213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F2C8DA7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>Javna nabava u poslovanju</w:t>
            </w: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B42F744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314BD01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DA385EA" w14:textId="77777777" w:rsidR="004244EE" w:rsidRPr="004244EE" w:rsidRDefault="004244EE" w:rsidP="004244EE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4244EE">
              <w:rPr>
                <w:rFonts w:ascii="Cambria" w:hAnsi="Cambria" w:cs="Calibri"/>
                <w:color w:val="1F1F1F"/>
                <w:sz w:val="20"/>
                <w:szCs w:val="20"/>
              </w:rPr>
              <w:t xml:space="preserve">X </w:t>
            </w:r>
          </w:p>
        </w:tc>
      </w:tr>
    </w:tbl>
    <w:p w14:paraId="26C3776F" w14:textId="77777777" w:rsidR="004244EE" w:rsidRPr="004244EE" w:rsidRDefault="004244EE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6CC57179" w14:textId="77777777" w:rsidR="00F543DA" w:rsidRPr="004244EE" w:rsidRDefault="00F543DA" w:rsidP="004244EE">
      <w:pPr>
        <w:pStyle w:val="Naslov2"/>
        <w:rPr>
          <w:rFonts w:ascii="Cambria" w:hAnsi="Cambria"/>
        </w:rPr>
      </w:pPr>
      <w:r w:rsidRPr="004244EE">
        <w:rPr>
          <w:rFonts w:ascii="Cambria" w:hAnsi="Cambria"/>
        </w:rPr>
        <w:t>4. Što nakon završetka škole?</w:t>
      </w:r>
    </w:p>
    <w:p w14:paraId="6D9F24F7" w14:textId="77777777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Završetkom ovog smjera pred učenicima su otvorene dvije primarne opcije:</w:t>
      </w:r>
    </w:p>
    <w:p w14:paraId="0D5A1B3C" w14:textId="77777777" w:rsidR="00F543DA" w:rsidRPr="004244EE" w:rsidRDefault="00F543DA" w:rsidP="00F543DA">
      <w:pPr>
        <w:pStyle w:val="Naslov3"/>
        <w:spacing w:before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A. Nastavak školovanja (Fakultet)</w:t>
      </w:r>
    </w:p>
    <w:p w14:paraId="54D377E1" w14:textId="77777777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Kurikulum pruža odličnu podlogu za nastavak studija na:</w:t>
      </w:r>
    </w:p>
    <w:p w14:paraId="4FAADD96" w14:textId="77777777" w:rsidR="00F543DA" w:rsidRPr="004244EE" w:rsidRDefault="00F543DA" w:rsidP="00F543DA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Ekonomskim fakultetima (smjerovi poput menadžmenta, marketinga, financija, poslovne informatike).</w:t>
      </w:r>
    </w:p>
    <w:p w14:paraId="69039E14" w14:textId="77777777" w:rsidR="00F543DA" w:rsidRPr="004244EE" w:rsidRDefault="00F543DA" w:rsidP="00F543DA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Pravnim fakultetima ili upravnim studijima.</w:t>
      </w:r>
    </w:p>
    <w:p w14:paraId="4AD45642" w14:textId="77777777" w:rsidR="00F543DA" w:rsidRPr="004244EE" w:rsidRDefault="00F543DA" w:rsidP="00F543DA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Različitim veleučilištima i visokim školama orijentiranima na projektni menadžment, logistiku ili digitalno poslovanje.</w:t>
      </w:r>
    </w:p>
    <w:p w14:paraId="3359E561" w14:textId="77777777" w:rsidR="00F543DA" w:rsidRPr="004244EE" w:rsidRDefault="00F543DA" w:rsidP="00F543DA">
      <w:pPr>
        <w:pStyle w:val="Naslov3"/>
        <w:spacing w:before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4EFDF885" w14:textId="6EC26998" w:rsidR="00F543DA" w:rsidRPr="004244EE" w:rsidRDefault="00F543DA" w:rsidP="00F543DA">
      <w:pPr>
        <w:pStyle w:val="Naslov3"/>
        <w:spacing w:before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B. Izravan ulazak na tržište rada</w:t>
      </w:r>
    </w:p>
    <w:p w14:paraId="0033D84B" w14:textId="77777777" w:rsidR="00F543DA" w:rsidRPr="004244EE" w:rsidRDefault="00F543D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Kvalifikacija referenta za poslovnu ekonomiju iznimno je svestrana jer svako poduzeće, ustanova ili obrt treba administrativnu i ekonomsku podršku. Zapošljavanje je moguće na poslovima kao što su:</w:t>
      </w:r>
    </w:p>
    <w:p w14:paraId="5FFD5DC8" w14:textId="77777777" w:rsidR="00F543DA" w:rsidRPr="004244EE" w:rsidRDefault="00F543DA" w:rsidP="00F543DA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Uredski/administrativni referent</w:t>
      </w:r>
    </w:p>
    <w:p w14:paraId="1603A5C4" w14:textId="77777777" w:rsidR="00F543DA" w:rsidRPr="004244EE" w:rsidRDefault="00F543DA" w:rsidP="00F543DA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Referent u nabavi, prodaji ili logistici</w:t>
      </w:r>
    </w:p>
    <w:p w14:paraId="24FB057B" w14:textId="77777777" w:rsidR="00F543DA" w:rsidRPr="004244EE" w:rsidRDefault="00F543DA" w:rsidP="00F543DA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Pomoćnik u knjigovodstvu i računovodstvu</w:t>
      </w:r>
    </w:p>
    <w:p w14:paraId="4D0DF8C7" w14:textId="77777777" w:rsidR="00F543DA" w:rsidRPr="004244EE" w:rsidRDefault="00F543DA" w:rsidP="00F543DA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Referent u bankama, osiguravajućim društvima ili državnoj upravi</w:t>
      </w:r>
    </w:p>
    <w:p w14:paraId="2C0DD3DE" w14:textId="1AC18924" w:rsidR="00F543DA" w:rsidRPr="004244EE" w:rsidRDefault="00F543DA" w:rsidP="00F543DA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Voditelj ureda (Office Manager) u malim i srednjim poduzećima</w:t>
      </w:r>
    </w:p>
    <w:p w14:paraId="0DB6E7D3" w14:textId="2B71AE54" w:rsidR="00F543DA" w:rsidRPr="004244EE" w:rsidRDefault="00F543DA" w:rsidP="00F543DA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4244EE">
        <w:rPr>
          <w:rFonts w:ascii="Cambria" w:hAnsi="Cambria" w:cs="Calibri"/>
          <w:color w:val="1F1F1F"/>
          <w:sz w:val="22"/>
          <w:szCs w:val="22"/>
        </w:rPr>
        <w:t>Poslovi u turizmu.</w:t>
      </w:r>
    </w:p>
    <w:p w14:paraId="43398636" w14:textId="77777777" w:rsidR="00F543DA" w:rsidRPr="004244EE" w:rsidRDefault="00F543DA" w:rsidP="00F543DA">
      <w:pPr>
        <w:pStyle w:val="StandardWeb"/>
        <w:spacing w:before="0" w:beforeAutospacing="0" w:after="0" w:afterAutospacing="0"/>
        <w:ind w:left="72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76A8AC7A" w14:textId="01D0271D" w:rsidR="00D92B8A" w:rsidRPr="004244EE" w:rsidRDefault="004244EE" w:rsidP="004244EE">
      <w:pPr>
        <w:pStyle w:val="Naslov2"/>
        <w:rPr>
          <w:rFonts w:ascii="Cambria" w:hAnsi="Cambria"/>
        </w:rPr>
      </w:pPr>
      <w:r w:rsidRPr="004244EE">
        <w:rPr>
          <w:rFonts w:ascii="Cambria" w:hAnsi="Cambria"/>
        </w:rPr>
        <w:t xml:space="preserve">5. </w:t>
      </w:r>
      <w:r w:rsidR="00D92B8A" w:rsidRPr="004244EE">
        <w:rPr>
          <w:rFonts w:ascii="Cambria" w:hAnsi="Cambria"/>
        </w:rPr>
        <w:t>Kriteriji upisa i bodovanje</w:t>
      </w:r>
    </w:p>
    <w:p w14:paraId="3FEDCE0A" w14:textId="77777777" w:rsidR="00D92B8A" w:rsidRPr="004244EE" w:rsidRDefault="00D92B8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 xml:space="preserve">Za upis u zanimanje </w:t>
      </w:r>
      <w:r w:rsidRPr="004244EE">
        <w:rPr>
          <w:rFonts w:ascii="Cambria" w:hAnsi="Cambria" w:cs="Calibri"/>
          <w:i/>
          <w:iCs/>
          <w:sz w:val="22"/>
          <w:szCs w:val="22"/>
        </w:rPr>
        <w:t>Referent za poslovnu ekonomiju</w:t>
      </w:r>
      <w:r w:rsidRPr="004244EE">
        <w:rPr>
          <w:rFonts w:ascii="Cambria" w:hAnsi="Cambria" w:cs="Calibri"/>
          <w:sz w:val="22"/>
          <w:szCs w:val="22"/>
        </w:rPr>
        <w:t xml:space="preserve"> boduju se:</w:t>
      </w:r>
    </w:p>
    <w:p w14:paraId="21062A14" w14:textId="77777777" w:rsidR="00D92B8A" w:rsidRPr="004244EE" w:rsidRDefault="00D92B8A" w:rsidP="00F543DA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b/>
          <w:bCs/>
          <w:sz w:val="22"/>
          <w:szCs w:val="22"/>
        </w:rPr>
        <w:t>Zaključne ocjene u 7. i 8. razredu</w:t>
      </w:r>
      <w:r w:rsidRPr="004244EE">
        <w:rPr>
          <w:rFonts w:ascii="Cambria" w:hAnsi="Cambria" w:cs="Calibri"/>
          <w:sz w:val="22"/>
          <w:szCs w:val="22"/>
        </w:rPr>
        <w:t xml:space="preserve"> iz sljedećih predmeta:</w:t>
      </w:r>
    </w:p>
    <w:p w14:paraId="04890FF2" w14:textId="5574FF8F" w:rsidR="00D92B8A" w:rsidRPr="004244EE" w:rsidRDefault="00D92B8A" w:rsidP="00F543DA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Hrvatski jezik</w:t>
      </w:r>
    </w:p>
    <w:p w14:paraId="19355FC1" w14:textId="77777777" w:rsidR="00D92B8A" w:rsidRPr="004244EE" w:rsidRDefault="00D92B8A" w:rsidP="00F543DA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Matematika</w:t>
      </w:r>
    </w:p>
    <w:p w14:paraId="2FA7225E" w14:textId="77777777" w:rsidR="00D92B8A" w:rsidRPr="004244EE" w:rsidRDefault="00D92B8A" w:rsidP="00F543DA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Prvi strani jezik</w:t>
      </w:r>
    </w:p>
    <w:p w14:paraId="39DE2CEA" w14:textId="77777777" w:rsidR="00D92B8A" w:rsidRPr="004244EE" w:rsidRDefault="00D92B8A" w:rsidP="00F543DA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Povijest</w:t>
      </w:r>
    </w:p>
    <w:p w14:paraId="1B6DF2C3" w14:textId="77777777" w:rsidR="00D92B8A" w:rsidRPr="004244EE" w:rsidRDefault="00D92B8A" w:rsidP="00F543DA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Geografija</w:t>
      </w:r>
    </w:p>
    <w:p w14:paraId="6406EFF0" w14:textId="77777777" w:rsidR="00D92B8A" w:rsidRPr="004244EE" w:rsidRDefault="00D92B8A" w:rsidP="00F543DA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Tehnička kultura</w:t>
      </w:r>
    </w:p>
    <w:p w14:paraId="792FC6DD" w14:textId="77777777" w:rsidR="00D92B8A" w:rsidRPr="004244EE" w:rsidRDefault="00D92B8A" w:rsidP="00F543DA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b/>
          <w:bCs/>
          <w:sz w:val="22"/>
          <w:szCs w:val="22"/>
        </w:rPr>
        <w:t>Opći uspjeh od 5. do 8. razreda</w:t>
      </w:r>
      <w:r w:rsidRPr="004244EE">
        <w:rPr>
          <w:rFonts w:ascii="Cambria" w:hAnsi="Cambria" w:cs="Calibri"/>
          <w:sz w:val="22"/>
          <w:szCs w:val="22"/>
        </w:rPr>
        <w:t xml:space="preserve"> (prosjeci svih zaključnih ocjena na dvije decimale).</w:t>
      </w:r>
    </w:p>
    <w:p w14:paraId="38ED1614" w14:textId="77777777" w:rsidR="00D92B8A" w:rsidRPr="004244EE" w:rsidRDefault="00D92B8A" w:rsidP="00F543DA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b/>
          <w:bCs/>
          <w:sz w:val="22"/>
          <w:szCs w:val="22"/>
        </w:rPr>
        <w:t>Maksimalan broj bodova:</w:t>
      </w:r>
      <w:r w:rsidRPr="004244EE">
        <w:rPr>
          <w:rFonts w:ascii="Cambria" w:hAnsi="Cambria" w:cs="Calibri"/>
          <w:sz w:val="22"/>
          <w:szCs w:val="22"/>
        </w:rPr>
        <w:t xml:space="preserve"> 80 bodova.</w:t>
      </w:r>
    </w:p>
    <w:p w14:paraId="7A74D89A" w14:textId="3A6000D3" w:rsidR="00D92B8A" w:rsidRPr="004244EE" w:rsidRDefault="00D92B8A" w:rsidP="00F543DA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b/>
          <w:bCs/>
          <w:sz w:val="22"/>
          <w:szCs w:val="22"/>
        </w:rPr>
        <w:t>Dodatni bodovi:</w:t>
      </w:r>
      <w:r w:rsidRPr="004244EE">
        <w:rPr>
          <w:rFonts w:ascii="Cambria" w:hAnsi="Cambria" w:cs="Calibri"/>
          <w:sz w:val="22"/>
          <w:szCs w:val="22"/>
        </w:rPr>
        <w:t xml:space="preserve"> Detalje o bodovanju športskih i drugih natjecanja potražite u </w:t>
      </w:r>
      <w:r w:rsidRPr="004244EE">
        <w:rPr>
          <w:rFonts w:ascii="Cambria" w:hAnsi="Cambria" w:cs="Calibri"/>
          <w:i/>
          <w:iCs/>
          <w:sz w:val="22"/>
          <w:szCs w:val="22"/>
        </w:rPr>
        <w:t>Pravilniku o elementima i kriterijima</w:t>
      </w:r>
      <w:r w:rsidRPr="004244EE">
        <w:rPr>
          <w:rFonts w:ascii="Cambria" w:hAnsi="Cambria" w:cs="Calibri"/>
          <w:sz w:val="22"/>
          <w:szCs w:val="22"/>
        </w:rPr>
        <w:t xml:space="preserve"> na našoj web stranici (rubrika </w:t>
      </w:r>
      <w:r w:rsidRPr="004244EE">
        <w:rPr>
          <w:rFonts w:ascii="Cambria" w:hAnsi="Cambria" w:cs="Calibri"/>
          <w:i/>
          <w:iCs/>
          <w:sz w:val="22"/>
          <w:szCs w:val="22"/>
        </w:rPr>
        <w:t>Upisi -&gt; Dokumenti</w:t>
      </w:r>
      <w:r w:rsidRPr="004244EE">
        <w:rPr>
          <w:rFonts w:ascii="Cambria" w:hAnsi="Cambria" w:cs="Calibri"/>
          <w:sz w:val="22"/>
          <w:szCs w:val="22"/>
        </w:rPr>
        <w:t>).</w:t>
      </w:r>
    </w:p>
    <w:p w14:paraId="74CF35D7" w14:textId="77777777" w:rsidR="00D92B8A" w:rsidRPr="004244EE" w:rsidRDefault="00D92B8A" w:rsidP="00F543DA">
      <w:pPr>
        <w:pStyle w:val="Naslov2"/>
        <w:spacing w:before="0"/>
        <w:jc w:val="both"/>
        <w:rPr>
          <w:rFonts w:ascii="Cambria" w:hAnsi="Cambria" w:cs="Calibri"/>
          <w:sz w:val="22"/>
          <w:szCs w:val="22"/>
        </w:rPr>
      </w:pPr>
    </w:p>
    <w:p w14:paraId="6005A609" w14:textId="1461538E" w:rsidR="00D92B8A" w:rsidRPr="004244EE" w:rsidRDefault="00D92B8A" w:rsidP="004244EE">
      <w:pPr>
        <w:pStyle w:val="Naslov3"/>
        <w:rPr>
          <w:rFonts w:ascii="Cambria" w:hAnsi="Cambria"/>
        </w:rPr>
      </w:pPr>
      <w:r w:rsidRPr="004244EE">
        <w:rPr>
          <w:rFonts w:ascii="Cambria" w:hAnsi="Cambria"/>
        </w:rPr>
        <w:t>Dokumentacija i upisni rokovi (Ljetni rok)</w:t>
      </w:r>
    </w:p>
    <w:p w14:paraId="53BF8B00" w14:textId="77777777" w:rsidR="00D92B8A" w:rsidRPr="004244EE" w:rsidRDefault="00D92B8A" w:rsidP="00F543DA">
      <w:pPr>
        <w:pStyle w:val="Naslov3"/>
        <w:spacing w:before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Potrebni dokumenti:</w:t>
      </w:r>
    </w:p>
    <w:p w14:paraId="76444FC5" w14:textId="5FAA98C0" w:rsidR="00D92B8A" w:rsidRPr="004244EE" w:rsidRDefault="00D92B8A" w:rsidP="00F543DA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b/>
          <w:bCs/>
          <w:sz w:val="22"/>
          <w:szCs w:val="22"/>
        </w:rPr>
        <w:t>Upisnica</w:t>
      </w:r>
      <w:r w:rsidRPr="004244EE">
        <w:rPr>
          <w:rFonts w:ascii="Cambria" w:hAnsi="Cambria" w:cs="Calibri"/>
          <w:sz w:val="22"/>
          <w:szCs w:val="22"/>
        </w:rPr>
        <w:t xml:space="preserve"> (potpisana od strane učenika i roditelja/skrbnika)</w:t>
      </w:r>
    </w:p>
    <w:p w14:paraId="35B5316D" w14:textId="78F90202" w:rsidR="00D92B8A" w:rsidRPr="004244EE" w:rsidRDefault="00D92B8A" w:rsidP="00F543DA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b/>
          <w:bCs/>
          <w:sz w:val="22"/>
          <w:szCs w:val="22"/>
        </w:rPr>
        <w:lastRenderedPageBreak/>
        <w:t>Potvrda liječnika školske medicine</w:t>
      </w:r>
    </w:p>
    <w:p w14:paraId="0335FBFE" w14:textId="67EC3CAB" w:rsidR="00D92B8A" w:rsidRPr="004244EE" w:rsidRDefault="00D92B8A" w:rsidP="00F543DA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 xml:space="preserve">Nakon što potvrdite upis potpisima, upisnicu i ostale dokumente možete dostaviti elektronički preko portala </w:t>
      </w:r>
      <w:r w:rsidRPr="004244EE">
        <w:rPr>
          <w:rFonts w:ascii="Cambria" w:hAnsi="Cambria" w:cs="Calibri"/>
          <w:b/>
          <w:bCs/>
          <w:sz w:val="22"/>
          <w:szCs w:val="22"/>
        </w:rPr>
        <w:t>srednje.e-upisi.hr</w:t>
      </w:r>
      <w:r w:rsidRPr="004244EE">
        <w:rPr>
          <w:rFonts w:ascii="Cambria" w:hAnsi="Cambria" w:cs="Calibri"/>
          <w:sz w:val="22"/>
          <w:szCs w:val="22"/>
        </w:rPr>
        <w:t xml:space="preserve"> ili osobno donijeti u školu.</w:t>
      </w:r>
    </w:p>
    <w:p w14:paraId="4910E723" w14:textId="658EA553" w:rsidR="00D92B8A" w:rsidRPr="004244EE" w:rsidRDefault="00D92B8A" w:rsidP="00F543DA">
      <w:pPr>
        <w:pStyle w:val="Naslov3"/>
        <w:spacing w:before="0"/>
        <w:jc w:val="both"/>
        <w:rPr>
          <w:rFonts w:ascii="Cambria" w:hAnsi="Cambria" w:cs="Calibri"/>
          <w:sz w:val="22"/>
          <w:szCs w:val="22"/>
        </w:rPr>
      </w:pPr>
      <w:r w:rsidRPr="004244EE">
        <w:rPr>
          <w:rFonts w:ascii="Cambria" w:hAnsi="Cambria" w:cs="Calibri"/>
          <w:sz w:val="22"/>
          <w:szCs w:val="22"/>
        </w:rPr>
        <w:t>Datumi zaprimanja upisnica i dokumenata (2026. godina):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3608"/>
      </w:tblGrid>
      <w:tr w:rsidR="00D92B8A" w:rsidRPr="004244EE" w14:paraId="19A5E239" w14:textId="77777777" w:rsidTr="004B577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FF579" w14:textId="18E7B2C4" w:rsidR="00D92B8A" w:rsidRPr="004244EE" w:rsidRDefault="00D92B8A" w:rsidP="00F543DA">
            <w:pPr>
              <w:spacing w:after="0"/>
              <w:jc w:val="both"/>
              <w:rPr>
                <w:rFonts w:ascii="Cambria" w:hAnsi="Cambria" w:cs="Calibri"/>
              </w:rPr>
            </w:pPr>
            <w:r w:rsidRPr="004244EE">
              <w:rPr>
                <w:rStyle w:val="Naglaeno"/>
                <w:rFonts w:ascii="Cambria" w:hAnsi="Cambria" w:cs="Calibri"/>
              </w:rPr>
              <w:t>Način dostave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8DF93" w14:textId="77777777" w:rsidR="00D92B8A" w:rsidRPr="004244EE" w:rsidRDefault="00D92B8A" w:rsidP="00F543DA">
            <w:pPr>
              <w:spacing w:after="0"/>
              <w:jc w:val="both"/>
              <w:rPr>
                <w:rFonts w:ascii="Cambria" w:hAnsi="Cambria" w:cs="Calibri"/>
              </w:rPr>
            </w:pPr>
            <w:r w:rsidRPr="004244EE">
              <w:rPr>
                <w:rStyle w:val="Naglaeno"/>
                <w:rFonts w:ascii="Cambria" w:hAnsi="Cambria" w:cs="Calibri"/>
              </w:rPr>
              <w:t>Rokovi i vrijeme</w:t>
            </w:r>
          </w:p>
        </w:tc>
      </w:tr>
      <w:tr w:rsidR="00D92B8A" w:rsidRPr="004244EE" w14:paraId="1EC8AB57" w14:textId="77777777" w:rsidTr="004B577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453B1" w14:textId="4689ABE3" w:rsidR="00D92B8A" w:rsidRPr="004244EE" w:rsidRDefault="00D92B8A" w:rsidP="00F543DA">
            <w:pPr>
              <w:spacing w:after="0"/>
              <w:jc w:val="both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bCs/>
              </w:rPr>
              <w:t>Elektroničkim putem (srednje.e-upisi.hr)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6B5C81" w14:textId="77777777" w:rsidR="00D92B8A" w:rsidRPr="004244EE" w:rsidRDefault="00D92B8A" w:rsidP="00F543DA">
            <w:pPr>
              <w:spacing w:after="0"/>
              <w:jc w:val="both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</w:rPr>
              <w:t xml:space="preserve">Od </w:t>
            </w:r>
            <w:r w:rsidRPr="004244EE">
              <w:rPr>
                <w:rFonts w:ascii="Cambria" w:hAnsi="Cambria" w:cs="Calibri"/>
                <w:b/>
                <w:bCs/>
              </w:rPr>
              <w:t>7. 7.</w:t>
            </w:r>
            <w:r w:rsidRPr="004244EE">
              <w:rPr>
                <w:rFonts w:ascii="Cambria" w:hAnsi="Cambria" w:cs="Calibri"/>
              </w:rPr>
              <w:t xml:space="preserve"> do </w:t>
            </w:r>
            <w:r w:rsidRPr="004244EE">
              <w:rPr>
                <w:rFonts w:ascii="Cambria" w:hAnsi="Cambria" w:cs="Calibri"/>
                <w:b/>
                <w:bCs/>
              </w:rPr>
              <w:t>9. 7. 2026.</w:t>
            </w:r>
          </w:p>
        </w:tc>
      </w:tr>
      <w:tr w:rsidR="00D92B8A" w:rsidRPr="004244EE" w14:paraId="777E6E20" w14:textId="77777777" w:rsidTr="004B577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1E05B" w14:textId="58AFFDAC" w:rsidR="00D92B8A" w:rsidRPr="004244EE" w:rsidRDefault="00D92B8A" w:rsidP="00F543DA">
            <w:pPr>
              <w:spacing w:after="0"/>
              <w:jc w:val="both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bCs/>
              </w:rPr>
              <w:t>Osobno u školi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E8BBEE" w14:textId="77777777" w:rsidR="00D92B8A" w:rsidRPr="004244EE" w:rsidRDefault="00D92B8A" w:rsidP="00F543DA">
            <w:pPr>
              <w:spacing w:after="0"/>
              <w:jc w:val="both"/>
              <w:rPr>
                <w:rFonts w:ascii="Cambria" w:hAnsi="Cambria" w:cs="Calibri"/>
              </w:rPr>
            </w:pPr>
            <w:r w:rsidRPr="004244EE">
              <w:rPr>
                <w:rFonts w:ascii="Cambria" w:hAnsi="Cambria" w:cs="Calibri"/>
                <w:b/>
                <w:bCs/>
              </w:rPr>
              <w:t>9. 7. 2026.</w:t>
            </w:r>
            <w:r w:rsidRPr="004244EE">
              <w:rPr>
                <w:rFonts w:ascii="Cambria" w:hAnsi="Cambria" w:cs="Calibri"/>
              </w:rPr>
              <w:t xml:space="preserve"> od </w:t>
            </w:r>
            <w:r w:rsidRPr="004244EE">
              <w:rPr>
                <w:rFonts w:ascii="Cambria" w:hAnsi="Cambria" w:cs="Calibri"/>
                <w:b/>
                <w:bCs/>
              </w:rPr>
              <w:t>8:00 do 12:00 sati</w:t>
            </w:r>
          </w:p>
        </w:tc>
      </w:tr>
    </w:tbl>
    <w:p w14:paraId="4853CB91" w14:textId="77777777" w:rsidR="00D92B8A" w:rsidRPr="004244EE" w:rsidRDefault="00D92B8A" w:rsidP="00F543DA">
      <w:pPr>
        <w:spacing w:after="0"/>
        <w:jc w:val="both"/>
        <w:rPr>
          <w:rFonts w:ascii="Cambria" w:hAnsi="Cambria" w:cs="Calibri"/>
        </w:rPr>
      </w:pPr>
    </w:p>
    <w:p w14:paraId="5D69FEB9" w14:textId="0D67E9B5" w:rsidR="001F554A" w:rsidRPr="004244EE" w:rsidRDefault="001F554A" w:rsidP="00F543DA">
      <w:pPr>
        <w:pStyle w:val="Naslov3"/>
        <w:spacing w:before="0"/>
        <w:jc w:val="both"/>
        <w:rPr>
          <w:rFonts w:ascii="Cambria" w:hAnsi="Cambria" w:cs="Calibri"/>
        </w:rPr>
      </w:pPr>
    </w:p>
    <w:p w14:paraId="2F0E1349" w14:textId="5250F75B" w:rsidR="00860B48" w:rsidRPr="004244EE" w:rsidRDefault="00860B48" w:rsidP="00F543DA">
      <w:pPr>
        <w:spacing w:after="0"/>
        <w:jc w:val="both"/>
        <w:rPr>
          <w:rFonts w:ascii="Cambria" w:hAnsi="Cambria" w:cs="Calibri"/>
          <w:color w:val="FF0000"/>
          <w:sz w:val="24"/>
          <w:szCs w:val="24"/>
        </w:rPr>
      </w:pPr>
    </w:p>
    <w:sectPr w:rsidR="00860B48" w:rsidRPr="004244E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BCA"/>
    <w:multiLevelType w:val="multilevel"/>
    <w:tmpl w:val="6B8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03160"/>
    <w:multiLevelType w:val="multilevel"/>
    <w:tmpl w:val="FB5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41F03"/>
    <w:multiLevelType w:val="multilevel"/>
    <w:tmpl w:val="FB0E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259DC"/>
    <w:multiLevelType w:val="multilevel"/>
    <w:tmpl w:val="2D8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2516E"/>
    <w:multiLevelType w:val="multilevel"/>
    <w:tmpl w:val="7EC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04323"/>
    <w:multiLevelType w:val="multilevel"/>
    <w:tmpl w:val="A2C8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33A5A"/>
    <w:multiLevelType w:val="multilevel"/>
    <w:tmpl w:val="7A3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E270C"/>
    <w:multiLevelType w:val="multilevel"/>
    <w:tmpl w:val="863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17BC0"/>
    <w:multiLevelType w:val="multilevel"/>
    <w:tmpl w:val="77F0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36359"/>
    <w:multiLevelType w:val="multilevel"/>
    <w:tmpl w:val="143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8A"/>
    <w:rsid w:val="00185883"/>
    <w:rsid w:val="001F554A"/>
    <w:rsid w:val="002C6345"/>
    <w:rsid w:val="002E342E"/>
    <w:rsid w:val="004244EE"/>
    <w:rsid w:val="00585559"/>
    <w:rsid w:val="007C3B83"/>
    <w:rsid w:val="00860B48"/>
    <w:rsid w:val="00BD508D"/>
    <w:rsid w:val="00CA7987"/>
    <w:rsid w:val="00D92B8A"/>
    <w:rsid w:val="00DD0B30"/>
    <w:rsid w:val="00F40EDD"/>
    <w:rsid w:val="00F5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23A"/>
  <w15:chartTrackingRefBased/>
  <w15:docId w15:val="{C4B366ED-6723-42CC-9249-35380B2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8A"/>
  </w:style>
  <w:style w:type="paragraph" w:styleId="Naslov1">
    <w:name w:val="heading 1"/>
    <w:basedOn w:val="Normal"/>
    <w:link w:val="Naslov1Char"/>
    <w:uiPriority w:val="9"/>
    <w:qFormat/>
    <w:rsid w:val="00D92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2B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2B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92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9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D9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92B8A"/>
    <w:rPr>
      <w:b/>
      <w:bCs/>
    </w:rPr>
  </w:style>
  <w:style w:type="table" w:customStyle="1" w:styleId="TableGrid">
    <w:name w:val="TableGrid"/>
    <w:rsid w:val="001F554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7C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60B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forwork.com/blog/teamwork-training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</dc:creator>
  <cp:keywords/>
  <dc:description/>
  <cp:lastModifiedBy>Ingrid Sau</cp:lastModifiedBy>
  <cp:revision>7</cp:revision>
  <dcterms:created xsi:type="dcterms:W3CDTF">2026-06-03T13:46:00Z</dcterms:created>
  <dcterms:modified xsi:type="dcterms:W3CDTF">2026-06-09T11:18:00Z</dcterms:modified>
</cp:coreProperties>
</file>