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5A2F52" w14:paraId="211BD35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90AB1E4" w14:textId="77777777" w:rsidR="005A2F52" w:rsidRDefault="005E5669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A5745C2" w14:textId="77777777" w:rsidR="005A2F52" w:rsidRDefault="005E5669">
            <w:pPr>
              <w:spacing w:after="0" w:line="240" w:lineRule="auto"/>
            </w:pPr>
            <w:r>
              <w:t>17370</w:t>
            </w:r>
          </w:p>
        </w:tc>
      </w:tr>
      <w:tr w:rsidR="005A2F52" w14:paraId="387404A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3882685" w14:textId="77777777" w:rsidR="005A2F52" w:rsidRDefault="005E566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93A9BB3" w14:textId="77777777" w:rsidR="005A2F52" w:rsidRDefault="005E5669">
            <w:pPr>
              <w:spacing w:after="0" w:line="240" w:lineRule="auto"/>
            </w:pPr>
            <w:r>
              <w:t>SREDNJA ŠKOLA ZVANE ČRNJE, ROVINJ</w:t>
            </w:r>
          </w:p>
        </w:tc>
      </w:tr>
      <w:tr w:rsidR="005A2F52" w14:paraId="0F113EA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5E29630" w14:textId="77777777" w:rsidR="005A2F52" w:rsidRDefault="005E566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0A89962" w14:textId="77777777" w:rsidR="005A2F52" w:rsidRDefault="005E5669">
            <w:pPr>
              <w:spacing w:after="0" w:line="240" w:lineRule="auto"/>
            </w:pPr>
            <w:r>
              <w:t>31</w:t>
            </w:r>
          </w:p>
        </w:tc>
      </w:tr>
    </w:tbl>
    <w:p w14:paraId="239DAF31" w14:textId="77777777" w:rsidR="005A2F52" w:rsidRDefault="005E5669">
      <w:r>
        <w:br/>
      </w:r>
    </w:p>
    <w:p w14:paraId="73569D73" w14:textId="77777777" w:rsidR="005A2F52" w:rsidRDefault="005E566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CE33CE3" w14:textId="77777777" w:rsidR="005A2F52" w:rsidRDefault="005E5669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4A3B0E7" w14:textId="77777777" w:rsidR="005A2F52" w:rsidRDefault="005E5669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6C638A0" w14:textId="77777777" w:rsidR="005A2F52" w:rsidRDefault="005A2F52"/>
    <w:p w14:paraId="5D77407E" w14:textId="77777777" w:rsidR="005A2F52" w:rsidRDefault="005E566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2F210F8" w14:textId="77777777" w:rsidR="005A2F52" w:rsidRDefault="005E566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F52" w14:paraId="0865A7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1C2D9" w14:textId="77777777" w:rsidR="005A2F52" w:rsidRDefault="005E56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CE6FC" w14:textId="77777777" w:rsidR="005A2F52" w:rsidRDefault="005E56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61775" w14:textId="77777777" w:rsidR="005A2F52" w:rsidRDefault="005E56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EA909" w14:textId="77777777" w:rsidR="005A2F52" w:rsidRDefault="005E56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7ADB1" w14:textId="77777777" w:rsidR="005A2F52" w:rsidRDefault="005E56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F16AD" w14:textId="77777777" w:rsidR="005A2F52" w:rsidRDefault="005E56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F52" w14:paraId="423779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CDB86F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295C07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C735A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A21272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2.026.030,62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AA7596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2.255.596,47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6DAAA0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111,3</w:t>
            </w:r>
          </w:p>
        </w:tc>
      </w:tr>
      <w:tr w:rsidR="005A2F52" w14:paraId="2DD2FE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3407EF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213AB0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523C4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C9E807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2.031.212,16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D71581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2.361.071,18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60E235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116,2</w:t>
            </w:r>
          </w:p>
        </w:tc>
      </w:tr>
      <w:tr w:rsidR="005A2F52" w14:paraId="0362FC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BB033" w14:textId="77777777" w:rsidR="005A2F52" w:rsidRDefault="005A2F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534C33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9F18CB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86FC88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5.181,54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92F6F9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105.474,71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199B2E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2035,6</w:t>
            </w:r>
          </w:p>
        </w:tc>
      </w:tr>
      <w:tr w:rsidR="005A2F52" w14:paraId="60077E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87C8DE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31A212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2379F0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09A729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5E817F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9AC86B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A2F52" w14:paraId="1825CA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812F64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03C008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</w:t>
            </w:r>
            <w:r>
              <w:rPr>
                <w:sz w:val="18"/>
              </w:rPr>
              <w:t>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EACF4B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1F48A8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5.361,17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336220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6.955,59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481A4C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129,7</w:t>
            </w:r>
          </w:p>
        </w:tc>
      </w:tr>
      <w:tr w:rsidR="005A2F52" w14:paraId="34D409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C512AF" w14:textId="77777777" w:rsidR="005A2F52" w:rsidRDefault="005A2F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6ACC18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48CC3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38D8BA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5.361,17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DF20C7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6.955,59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F93787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129,7</w:t>
            </w:r>
          </w:p>
        </w:tc>
      </w:tr>
      <w:tr w:rsidR="005A2F52" w14:paraId="22177B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80ADA3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922080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F5C9FC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528937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66AD16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0B2858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A2F52" w14:paraId="12524A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8EA68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7597FB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</w:t>
            </w:r>
            <w:r>
              <w:rPr>
                <w:sz w:val="18"/>
              </w:rPr>
              <w:t>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54704A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64CDAE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335D5D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16166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A2F52" w14:paraId="3D2611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0B0A54" w14:textId="77777777" w:rsidR="005A2F52" w:rsidRDefault="005A2F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984383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62A9F8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1F5D78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519E48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21A42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A2F52" w14:paraId="6DF8D7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706B5C" w14:textId="77777777" w:rsidR="005A2F52" w:rsidRDefault="005A2F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D3A196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AA007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0A10A5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10.542,71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2D7D8F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112.430,30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3694D6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1066,4</w:t>
            </w:r>
          </w:p>
        </w:tc>
      </w:tr>
    </w:tbl>
    <w:p w14:paraId="7E683441" w14:textId="77777777" w:rsidR="005A2F52" w:rsidRDefault="005A2F52">
      <w:pPr>
        <w:spacing w:after="0"/>
      </w:pPr>
    </w:p>
    <w:p w14:paraId="7EA9A3E9" w14:textId="77777777" w:rsidR="005A2F52" w:rsidRDefault="005E5669">
      <w:r>
        <w:t xml:space="preserve">Do značajnog odstupanja i manjka per 31.12.2025.g. došlo je zbog promjena u Pravilniku o proračunskom računovodstvu i Računskom planu, te promjena u računovodstvenim evidencijama na prijelazu iz 2024. u 2025. godinu. Početkom 2025. godine provedene su </w:t>
      </w:r>
      <w:proofErr w:type="spellStart"/>
      <w:r>
        <w:t>knji</w:t>
      </w:r>
      <w:r>
        <w:t>govodsvene</w:t>
      </w:r>
      <w:proofErr w:type="spellEnd"/>
      <w:r>
        <w:t xml:space="preserve"> izmjene kako bi se poslovne promjene evidentirale na ispravnim osnovnim računima Računskog plana. Ukidanjem podskupine 193 s 01.01.2025.g.  knjižit će se trinaest rashoda (plaće MZO) odnosno jedan rashod više s obzirom na to da će rashodi  u 202</w:t>
      </w:r>
      <w:r>
        <w:t xml:space="preserve">5. </w:t>
      </w:r>
      <w:proofErr w:type="spellStart"/>
      <w:r>
        <w:t>ukljućivati</w:t>
      </w:r>
      <w:proofErr w:type="spellEnd"/>
      <w:r>
        <w:t xml:space="preserve"> rashode od 12.2024. do 12.2025. godine. Preneseni višak poslovanja iz 2024. </w:t>
      </w:r>
      <w:r>
        <w:lastRenderedPageBreak/>
        <w:t xml:space="preserve">godine u iznosu od 44.204,99 </w:t>
      </w:r>
      <w:proofErr w:type="spellStart"/>
      <w:r>
        <w:t>eur</w:t>
      </w:r>
      <w:proofErr w:type="spellEnd"/>
      <w:r>
        <w:t xml:space="preserve"> je raspoloživ u slijedećem razdoblje 2025. godine (sukladno Odluci o raspodjeli rezultata poslovanja </w:t>
      </w:r>
      <w:proofErr w:type="spellStart"/>
      <w:r>
        <w:t>KLASa</w:t>
      </w:r>
      <w:proofErr w:type="spellEnd"/>
      <w:r>
        <w:t xml:space="preserve">: 400-02/25-01/02 URBROJ: </w:t>
      </w:r>
      <w:r>
        <w:t>2171-8-25 od 10.03.2025.. godine. </w:t>
      </w:r>
    </w:p>
    <w:p w14:paraId="4D021D0D" w14:textId="77777777" w:rsidR="005A2F52" w:rsidRDefault="005E5669">
      <w:r>
        <w:br/>
      </w:r>
    </w:p>
    <w:p w14:paraId="65215BDB" w14:textId="77777777" w:rsidR="005A2F52" w:rsidRDefault="005E5669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BCDBC1F" w14:textId="77777777" w:rsidR="005A2F52" w:rsidRDefault="005E5669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5A2F52" w14:paraId="68385F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6C9C1" w14:textId="77777777" w:rsidR="005A2F52" w:rsidRDefault="005E56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6B872" w14:textId="77777777" w:rsidR="005A2F52" w:rsidRDefault="005E56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EC442" w14:textId="77777777" w:rsidR="005A2F52" w:rsidRDefault="005E56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BDF75" w14:textId="77777777" w:rsidR="005A2F52" w:rsidRDefault="005E56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87049" w14:textId="77777777" w:rsidR="005A2F52" w:rsidRDefault="005E56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F52" w14:paraId="4868D8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C15AE0" w14:textId="77777777" w:rsidR="005A2F52" w:rsidRDefault="005A2F5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C81DCF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2C979F" w14:textId="77777777" w:rsidR="005A2F52" w:rsidRDefault="005E56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C16755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A6070A" w14:textId="77777777" w:rsidR="005A2F52" w:rsidRDefault="005E56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9401C94" w14:textId="77777777" w:rsidR="005A2F52" w:rsidRDefault="005A2F52">
      <w:pPr>
        <w:spacing w:after="0"/>
      </w:pPr>
    </w:p>
    <w:p w14:paraId="2B954298" w14:textId="77777777" w:rsidR="005A2F52" w:rsidRDefault="005E5669">
      <w:r>
        <w:t xml:space="preserve">Do porasta iznosa obveza na kraju izvještajnog razdoblja u odnosu na prethodno razdoblje 2024. godine došlo je većim djelom zbog </w:t>
      </w:r>
      <w:proofErr w:type="spellStart"/>
      <w:r>
        <w:t>pretrpjelog</w:t>
      </w:r>
      <w:proofErr w:type="spellEnd"/>
      <w:r>
        <w:t xml:space="preserve"> kibernetičkog napada na server Istarske županije krajem studenog 2025. te se nakon toga nije moglo pristupiti zajed</w:t>
      </w:r>
      <w:r>
        <w:t xml:space="preserve">ničkim </w:t>
      </w:r>
      <w:proofErr w:type="spellStart"/>
      <w:r>
        <w:t>računovodsvenim</w:t>
      </w:r>
      <w:proofErr w:type="spellEnd"/>
      <w:r>
        <w:t xml:space="preserve"> aplikacijama i bazama podataka. Prelaskom na jedinstven račun regionalne riznice time je gotovo onemogućeno praćenje i naplata obveza. Uspostavljanjem rada na novim privremenim serverima omogućeno je postupno podmirivanje obveza kraj</w:t>
      </w:r>
      <w:r>
        <w:t>em prosinca te nadalje u 2026. godini. </w:t>
      </w:r>
    </w:p>
    <w:p w14:paraId="18287931" w14:textId="77777777" w:rsidR="005A2F52" w:rsidRDefault="005E5669">
      <w:r>
        <w:t xml:space="preserve">Značajna stavka u povećanju obveza na kraju razdoblja je i primljena akontacija za novi Erasmus+ projekt u iznosu od 28.880,00 </w:t>
      </w:r>
      <w:proofErr w:type="spellStart"/>
      <w:r>
        <w:t>eur</w:t>
      </w:r>
      <w:proofErr w:type="spellEnd"/>
      <w:r>
        <w:t xml:space="preserve"> koja se knjižila na potražnu stranu konta 275210 (sukladno uputi </w:t>
      </w:r>
      <w:proofErr w:type="spellStart"/>
      <w:r>
        <w:t>ministartva</w:t>
      </w:r>
      <w:proofErr w:type="spellEnd"/>
      <w:r>
        <w:t xml:space="preserve"> financija KLASA: 910-04/25-01/08 URBROJ: 513-17-</w:t>
      </w:r>
      <w:r>
        <w:t xml:space="preserve">1-26-6 OD 15/01/2026), </w:t>
      </w:r>
      <w:proofErr w:type="spellStart"/>
      <w:r>
        <w:t>umj</w:t>
      </w:r>
      <w:proofErr w:type="spellEnd"/>
      <w:r>
        <w:t xml:space="preserve">. dosadašnjeg knjiženja na kontu </w:t>
      </w:r>
      <w:proofErr w:type="spellStart"/>
      <w:r>
        <w:t>prhoda</w:t>
      </w:r>
      <w:proofErr w:type="spellEnd"/>
      <w:r>
        <w:t>.</w:t>
      </w:r>
    </w:p>
    <w:p w14:paraId="63BE1A93" w14:textId="77777777" w:rsidR="005A2F52" w:rsidRDefault="005A2F52"/>
    <w:p w14:paraId="0F0E6813" w14:textId="77777777" w:rsidR="005A2F52" w:rsidRDefault="005E5669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36BB5F3E" w14:textId="77777777" w:rsidR="005A2F52" w:rsidRDefault="005E5669">
      <w:pPr>
        <w:spacing w:line="240" w:lineRule="auto"/>
        <w:jc w:val="both"/>
      </w:pPr>
      <w:r>
        <w:rPr>
          <w:b/>
        </w:rPr>
        <w:t>EU izvještaj</w:t>
      </w:r>
    </w:p>
    <w:p w14:paraId="4D41AC28" w14:textId="77777777" w:rsidR="005A2F52" w:rsidRDefault="005E5669">
      <w:r>
        <w:t xml:space="preserve">Srednja škola Zvane </w:t>
      </w:r>
      <w:proofErr w:type="spellStart"/>
      <w:r>
        <w:t>Črnje</w:t>
      </w:r>
      <w:proofErr w:type="spellEnd"/>
      <w:r>
        <w:t xml:space="preserve"> Rovinj je 06/06/2025 </w:t>
      </w:r>
      <w:proofErr w:type="spellStart"/>
      <w:r>
        <w:t>poptisala</w:t>
      </w:r>
      <w:proofErr w:type="spellEnd"/>
      <w:r>
        <w:t xml:space="preserve"> ugovor sa AMPEU za Erasmus + projekt u ukupnom iznosu 36.100,00 </w:t>
      </w:r>
      <w:proofErr w:type="spellStart"/>
      <w:r>
        <w:t>eur</w:t>
      </w:r>
      <w:proofErr w:type="spellEnd"/>
      <w:r>
        <w:t>. </w:t>
      </w:r>
    </w:p>
    <w:p w14:paraId="6B76642E" w14:textId="77777777" w:rsidR="005A2F52" w:rsidRDefault="005E5669">
      <w:r>
        <w:t xml:space="preserve">Dana 13/06/2025 agencija AMPEU je doznačila na žiro račun škole akontaciju u iznosu od 28.880,00 </w:t>
      </w:r>
      <w:proofErr w:type="spellStart"/>
      <w:r>
        <w:t>eur</w:t>
      </w:r>
      <w:proofErr w:type="spellEnd"/>
      <w:r>
        <w:t>. Većina mobilnosti po ugovor</w:t>
      </w:r>
      <w:r>
        <w:t>u predviđa odvijanje u 2026. godini.</w:t>
      </w:r>
    </w:p>
    <w:p w14:paraId="37EE16E6" w14:textId="77777777" w:rsidR="005A2F52" w:rsidRDefault="005A2F52"/>
    <w:sectPr w:rsidR="005A2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52"/>
    <w:rsid w:val="005A2F52"/>
    <w:rsid w:val="005E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141D"/>
  <w15:docId w15:val="{4433EB05-DD5F-4EE1-89B4-5322358C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 Mišeta</cp:lastModifiedBy>
  <cp:revision>2</cp:revision>
  <cp:lastPrinted>2026-02-13T13:37:00Z</cp:lastPrinted>
  <dcterms:created xsi:type="dcterms:W3CDTF">2026-02-13T13:37:00Z</dcterms:created>
  <dcterms:modified xsi:type="dcterms:W3CDTF">2026-02-13T13:37:00Z</dcterms:modified>
</cp:coreProperties>
</file>